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1D1B" w:rsidRPr="00705178" w:rsidRDefault="00661D1B" w:rsidP="00661D1B">
      <w:pPr>
        <w:pStyle w:val="Ttulo2"/>
        <w:spacing w:after="240"/>
        <w:jc w:val="center"/>
        <w:rPr>
          <w:rFonts w:asciiTheme="minorHAnsi" w:hAnsiTheme="minorHAnsi"/>
          <w:color w:val="262626" w:themeColor="text1" w:themeTint="D9"/>
        </w:rPr>
      </w:pPr>
      <w:bookmarkStart w:id="0" w:name="_Toc515042402"/>
      <w:r w:rsidRPr="00705178">
        <w:rPr>
          <w:rFonts w:asciiTheme="minorHAnsi" w:hAnsiTheme="minorHAnsi"/>
          <w:color w:val="262626" w:themeColor="text1" w:themeTint="D9"/>
        </w:rPr>
        <w:t>Anexo 7. Avance de las acciones para atender los Aspectos Susceptibles de Mejora</w:t>
      </w:r>
      <w:bookmarkEnd w:id="0"/>
    </w:p>
    <w:p w:rsidR="00661D1B" w:rsidRPr="00705178" w:rsidRDefault="00661D1B" w:rsidP="00661D1B">
      <w:pPr>
        <w:rPr>
          <w:b/>
          <w:color w:val="262626" w:themeColor="text1" w:themeTint="D9"/>
        </w:rPr>
      </w:pPr>
      <w:r w:rsidRPr="00705178">
        <w:rPr>
          <w:b/>
          <w:color w:val="262626" w:themeColor="text1" w:themeTint="D9"/>
        </w:rPr>
        <w:t>Avance del Documento de Trabajo</w:t>
      </w:r>
    </w:p>
    <w:tbl>
      <w:tblPr>
        <w:tblW w:w="12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92"/>
        <w:gridCol w:w="9552"/>
      </w:tblGrid>
      <w:tr w:rsidR="00661D1B" w:rsidRPr="00705178" w:rsidTr="00CD36EA">
        <w:trPr>
          <w:trHeight w:val="300"/>
        </w:trPr>
        <w:tc>
          <w:tcPr>
            <w:tcW w:w="2992" w:type="dxa"/>
            <w:shd w:val="clear" w:color="auto" w:fill="auto"/>
            <w:noWrap/>
            <w:hideMark/>
          </w:tcPr>
          <w:p w:rsidR="00661D1B" w:rsidRPr="00705178" w:rsidRDefault="00661D1B" w:rsidP="00CD36EA">
            <w:pPr>
              <w:spacing w:after="0" w:line="240" w:lineRule="auto"/>
              <w:rPr>
                <w:b/>
                <w:color w:val="262626" w:themeColor="text1" w:themeTint="D9"/>
                <w:lang w:val="es-ES"/>
              </w:rPr>
            </w:pPr>
            <w:r w:rsidRPr="00705178">
              <w:rPr>
                <w:b/>
                <w:color w:val="262626" w:themeColor="text1" w:themeTint="D9"/>
                <w:lang w:val="es-ES"/>
              </w:rPr>
              <w:t>Nombre del Programa:</w:t>
            </w:r>
          </w:p>
        </w:tc>
        <w:tc>
          <w:tcPr>
            <w:tcW w:w="9552" w:type="dxa"/>
          </w:tcPr>
          <w:p w:rsidR="00661D1B" w:rsidRPr="00705178" w:rsidRDefault="00661D1B" w:rsidP="00CD36EA">
            <w:pPr>
              <w:spacing w:after="0" w:line="240" w:lineRule="auto"/>
              <w:rPr>
                <w:color w:val="262626" w:themeColor="text1" w:themeTint="D9"/>
              </w:rPr>
            </w:pPr>
            <w:r w:rsidRPr="00705178">
              <w:rPr>
                <w:color w:val="262626" w:themeColor="text1" w:themeTint="D9"/>
              </w:rPr>
              <w:t>Fortalecimiento sectorial de las capacidades científicas, tecnológicas y de innovación</w:t>
            </w:r>
          </w:p>
        </w:tc>
      </w:tr>
      <w:tr w:rsidR="00661D1B" w:rsidRPr="00705178" w:rsidTr="00CD36EA">
        <w:trPr>
          <w:trHeight w:val="300"/>
        </w:trPr>
        <w:tc>
          <w:tcPr>
            <w:tcW w:w="2992" w:type="dxa"/>
            <w:shd w:val="clear" w:color="auto" w:fill="auto"/>
            <w:noWrap/>
            <w:hideMark/>
          </w:tcPr>
          <w:p w:rsidR="00661D1B" w:rsidRPr="00705178" w:rsidRDefault="00661D1B" w:rsidP="00CD36EA">
            <w:pPr>
              <w:spacing w:after="0" w:line="240" w:lineRule="auto"/>
              <w:rPr>
                <w:b/>
                <w:color w:val="262626" w:themeColor="text1" w:themeTint="D9"/>
                <w:lang w:val="es-ES"/>
              </w:rPr>
            </w:pPr>
            <w:r w:rsidRPr="00705178">
              <w:rPr>
                <w:b/>
                <w:color w:val="262626" w:themeColor="text1" w:themeTint="D9"/>
                <w:lang w:val="es-ES"/>
              </w:rPr>
              <w:t>Modalidad:</w:t>
            </w:r>
          </w:p>
        </w:tc>
        <w:tc>
          <w:tcPr>
            <w:tcW w:w="9552" w:type="dxa"/>
          </w:tcPr>
          <w:p w:rsidR="00661D1B" w:rsidRPr="00705178" w:rsidRDefault="00661D1B" w:rsidP="00CD36EA">
            <w:pPr>
              <w:spacing w:after="0" w:line="240" w:lineRule="auto"/>
              <w:rPr>
                <w:color w:val="262626" w:themeColor="text1" w:themeTint="D9"/>
              </w:rPr>
            </w:pPr>
            <w:r w:rsidRPr="00705178">
              <w:rPr>
                <w:color w:val="262626" w:themeColor="text1" w:themeTint="D9"/>
              </w:rPr>
              <w:t>S Sujeto a Reglas de Operación 192</w:t>
            </w:r>
          </w:p>
        </w:tc>
      </w:tr>
      <w:tr w:rsidR="00661D1B" w:rsidRPr="00705178" w:rsidTr="00CD36EA">
        <w:trPr>
          <w:trHeight w:val="300"/>
        </w:trPr>
        <w:tc>
          <w:tcPr>
            <w:tcW w:w="2992" w:type="dxa"/>
            <w:shd w:val="clear" w:color="auto" w:fill="auto"/>
            <w:noWrap/>
            <w:hideMark/>
          </w:tcPr>
          <w:p w:rsidR="00661D1B" w:rsidRPr="00705178" w:rsidRDefault="00661D1B" w:rsidP="00CD36EA">
            <w:pPr>
              <w:spacing w:after="0" w:line="240" w:lineRule="auto"/>
              <w:rPr>
                <w:b/>
                <w:color w:val="262626" w:themeColor="text1" w:themeTint="D9"/>
                <w:lang w:val="es-ES"/>
              </w:rPr>
            </w:pPr>
            <w:r w:rsidRPr="00705178">
              <w:rPr>
                <w:b/>
                <w:color w:val="262626" w:themeColor="text1" w:themeTint="D9"/>
                <w:lang w:val="es-ES"/>
              </w:rPr>
              <w:t>Dependencia / Entidad:</w:t>
            </w:r>
          </w:p>
        </w:tc>
        <w:tc>
          <w:tcPr>
            <w:tcW w:w="9552" w:type="dxa"/>
          </w:tcPr>
          <w:p w:rsidR="00661D1B" w:rsidRPr="00705178" w:rsidRDefault="00661D1B" w:rsidP="00CD36EA">
            <w:pPr>
              <w:spacing w:after="0" w:line="240" w:lineRule="auto"/>
              <w:rPr>
                <w:color w:val="262626" w:themeColor="text1" w:themeTint="D9"/>
              </w:rPr>
            </w:pPr>
            <w:r w:rsidRPr="00705178">
              <w:rPr>
                <w:color w:val="262626" w:themeColor="text1" w:themeTint="D9"/>
              </w:rPr>
              <w:t>Consejo Nacional de Ciencia y Tecnología</w:t>
            </w:r>
          </w:p>
        </w:tc>
      </w:tr>
      <w:tr w:rsidR="00661D1B" w:rsidRPr="00705178" w:rsidTr="00CD36EA">
        <w:trPr>
          <w:trHeight w:val="300"/>
        </w:trPr>
        <w:tc>
          <w:tcPr>
            <w:tcW w:w="2992" w:type="dxa"/>
            <w:shd w:val="clear" w:color="auto" w:fill="auto"/>
            <w:noWrap/>
          </w:tcPr>
          <w:p w:rsidR="00661D1B" w:rsidRPr="00705178" w:rsidRDefault="00661D1B" w:rsidP="00CD36EA">
            <w:pPr>
              <w:spacing w:after="0" w:line="240" w:lineRule="auto"/>
              <w:rPr>
                <w:b/>
                <w:color w:val="262626" w:themeColor="text1" w:themeTint="D9"/>
                <w:lang w:val="es-ES"/>
              </w:rPr>
            </w:pPr>
            <w:r w:rsidRPr="00705178">
              <w:rPr>
                <w:b/>
                <w:color w:val="262626" w:themeColor="text1" w:themeTint="D9"/>
                <w:lang w:val="es-ES"/>
              </w:rPr>
              <w:t>Unidad Responsable:</w:t>
            </w:r>
          </w:p>
        </w:tc>
        <w:tc>
          <w:tcPr>
            <w:tcW w:w="9552" w:type="dxa"/>
          </w:tcPr>
          <w:p w:rsidR="00661D1B" w:rsidRPr="00705178" w:rsidRDefault="00661D1B" w:rsidP="00CD36EA">
            <w:pPr>
              <w:spacing w:after="0" w:line="240" w:lineRule="auto"/>
              <w:rPr>
                <w:color w:val="262626" w:themeColor="text1" w:themeTint="D9"/>
              </w:rPr>
            </w:pPr>
            <w:r w:rsidRPr="00A34BB4">
              <w:rPr>
                <w:color w:val="262626" w:themeColor="text1" w:themeTint="D9"/>
              </w:rPr>
              <w:t>Consejo Nacional de Ciencia y Tecnología</w:t>
            </w:r>
          </w:p>
        </w:tc>
      </w:tr>
      <w:tr w:rsidR="00661D1B" w:rsidRPr="00705178" w:rsidTr="00CD36EA">
        <w:trPr>
          <w:trHeight w:val="300"/>
        </w:trPr>
        <w:tc>
          <w:tcPr>
            <w:tcW w:w="2992" w:type="dxa"/>
            <w:shd w:val="clear" w:color="auto" w:fill="auto"/>
            <w:noWrap/>
            <w:hideMark/>
          </w:tcPr>
          <w:p w:rsidR="00661D1B" w:rsidRPr="00705178" w:rsidRDefault="00661D1B" w:rsidP="00CD36EA">
            <w:pPr>
              <w:spacing w:after="0" w:line="240" w:lineRule="auto"/>
              <w:rPr>
                <w:b/>
                <w:color w:val="262626" w:themeColor="text1" w:themeTint="D9"/>
                <w:lang w:val="es-ES"/>
              </w:rPr>
            </w:pPr>
            <w:r w:rsidRPr="00705178">
              <w:rPr>
                <w:b/>
                <w:color w:val="262626" w:themeColor="text1" w:themeTint="D9"/>
                <w:lang w:val="es-ES"/>
              </w:rPr>
              <w:t>Tipo de Evaluación:</w:t>
            </w:r>
          </w:p>
        </w:tc>
        <w:tc>
          <w:tcPr>
            <w:tcW w:w="9552" w:type="dxa"/>
          </w:tcPr>
          <w:p w:rsidR="00661D1B" w:rsidRPr="00705178" w:rsidRDefault="00661D1B" w:rsidP="00CD36EA">
            <w:pPr>
              <w:spacing w:after="0" w:line="240" w:lineRule="auto"/>
              <w:rPr>
                <w:color w:val="262626" w:themeColor="text1" w:themeTint="D9"/>
              </w:rPr>
            </w:pPr>
            <w:r w:rsidRPr="00705178">
              <w:rPr>
                <w:color w:val="262626" w:themeColor="text1" w:themeTint="D9"/>
              </w:rPr>
              <w:t>Consistencia y Resultados</w:t>
            </w:r>
          </w:p>
        </w:tc>
      </w:tr>
      <w:tr w:rsidR="00661D1B" w:rsidRPr="00705178" w:rsidTr="00CD36EA">
        <w:trPr>
          <w:trHeight w:val="300"/>
        </w:trPr>
        <w:tc>
          <w:tcPr>
            <w:tcW w:w="2992" w:type="dxa"/>
            <w:shd w:val="clear" w:color="auto" w:fill="auto"/>
            <w:noWrap/>
            <w:hideMark/>
          </w:tcPr>
          <w:p w:rsidR="00661D1B" w:rsidRPr="00705178" w:rsidRDefault="00661D1B" w:rsidP="00CD36EA">
            <w:pPr>
              <w:spacing w:after="0" w:line="240" w:lineRule="auto"/>
              <w:rPr>
                <w:b/>
                <w:color w:val="262626" w:themeColor="text1" w:themeTint="D9"/>
                <w:lang w:val="es-ES"/>
              </w:rPr>
            </w:pPr>
            <w:r w:rsidRPr="00705178">
              <w:rPr>
                <w:b/>
                <w:color w:val="262626" w:themeColor="text1" w:themeTint="D9"/>
                <w:lang w:val="es-ES"/>
              </w:rPr>
              <w:t>Año de la Evaluación:</w:t>
            </w:r>
          </w:p>
        </w:tc>
        <w:tc>
          <w:tcPr>
            <w:tcW w:w="9552" w:type="dxa"/>
          </w:tcPr>
          <w:p w:rsidR="00661D1B" w:rsidRPr="00705178" w:rsidRDefault="00661D1B" w:rsidP="00CD36EA">
            <w:pPr>
              <w:spacing w:after="0" w:line="240" w:lineRule="auto"/>
              <w:rPr>
                <w:color w:val="262626" w:themeColor="text1" w:themeTint="D9"/>
              </w:rPr>
            </w:pPr>
            <w:r w:rsidRPr="00705178">
              <w:rPr>
                <w:color w:val="262626" w:themeColor="text1" w:themeTint="D9"/>
              </w:rPr>
              <w:t>2018 (año evaluado 2017)</w:t>
            </w:r>
          </w:p>
        </w:tc>
      </w:tr>
    </w:tbl>
    <w:p w:rsidR="00661D1B" w:rsidRPr="00705178" w:rsidRDefault="00661D1B" w:rsidP="00661D1B">
      <w:pPr>
        <w:spacing w:before="120" w:after="0"/>
        <w:rPr>
          <w:color w:val="262626" w:themeColor="text1" w:themeTint="D9"/>
        </w:rPr>
      </w:pPr>
    </w:p>
    <w:tbl>
      <w:tblPr>
        <w:tblStyle w:val="Tablaconcuadrcula"/>
        <w:tblW w:w="12470" w:type="dxa"/>
        <w:tblLayout w:type="fixed"/>
        <w:tblLook w:val="04A0" w:firstRow="1" w:lastRow="0" w:firstColumn="1" w:lastColumn="0" w:noHBand="0" w:noVBand="1"/>
      </w:tblPr>
      <w:tblGrid>
        <w:gridCol w:w="534"/>
        <w:gridCol w:w="1304"/>
        <w:gridCol w:w="1276"/>
        <w:gridCol w:w="1134"/>
        <w:gridCol w:w="709"/>
        <w:gridCol w:w="709"/>
        <w:gridCol w:w="1275"/>
        <w:gridCol w:w="1419"/>
        <w:gridCol w:w="567"/>
        <w:gridCol w:w="709"/>
        <w:gridCol w:w="1274"/>
        <w:gridCol w:w="1560"/>
      </w:tblGrid>
      <w:tr w:rsidR="00661D1B" w:rsidRPr="0092119E" w:rsidTr="00CD36EA">
        <w:trPr>
          <w:cantSplit/>
          <w:trHeight w:val="1134"/>
          <w:tblHeader/>
        </w:trPr>
        <w:tc>
          <w:tcPr>
            <w:tcW w:w="534" w:type="dxa"/>
            <w:vMerge w:val="restart"/>
            <w:shd w:val="clear" w:color="auto" w:fill="44546A" w:themeFill="text2"/>
            <w:textDirection w:val="btLr"/>
            <w:vAlign w:val="center"/>
          </w:tcPr>
          <w:p w:rsidR="00661D1B" w:rsidRPr="0092119E" w:rsidRDefault="00661D1B" w:rsidP="00CD36EA">
            <w:pPr>
              <w:autoSpaceDE w:val="0"/>
              <w:autoSpaceDN w:val="0"/>
              <w:adjustRightInd w:val="0"/>
              <w:ind w:left="113" w:right="113"/>
              <w:jc w:val="center"/>
              <w:rPr>
                <w:rFonts w:cstheme="minorHAnsi"/>
                <w:b/>
                <w:color w:val="FFFFFF" w:themeColor="background1"/>
                <w:sz w:val="16"/>
                <w:szCs w:val="16"/>
              </w:rPr>
            </w:pPr>
            <w:r w:rsidRPr="0092119E">
              <w:rPr>
                <w:rFonts w:cstheme="minorHAnsi"/>
                <w:b/>
                <w:color w:val="FFFFFF" w:themeColor="background1"/>
                <w:sz w:val="16"/>
                <w:szCs w:val="16"/>
              </w:rPr>
              <w:t>No.</w:t>
            </w:r>
          </w:p>
        </w:tc>
        <w:tc>
          <w:tcPr>
            <w:tcW w:w="1304" w:type="dxa"/>
            <w:vMerge w:val="restart"/>
            <w:shd w:val="clear" w:color="auto" w:fill="44546A" w:themeFill="text2"/>
            <w:textDirection w:val="btLr"/>
            <w:vAlign w:val="center"/>
          </w:tcPr>
          <w:p w:rsidR="00661D1B" w:rsidRPr="0092119E" w:rsidRDefault="00661D1B" w:rsidP="00CD36EA">
            <w:pPr>
              <w:autoSpaceDE w:val="0"/>
              <w:autoSpaceDN w:val="0"/>
              <w:adjustRightInd w:val="0"/>
              <w:ind w:left="113" w:right="113"/>
              <w:jc w:val="center"/>
              <w:rPr>
                <w:rFonts w:cstheme="minorHAnsi"/>
                <w:b/>
                <w:color w:val="FFFFFF" w:themeColor="background1"/>
                <w:sz w:val="16"/>
                <w:szCs w:val="16"/>
              </w:rPr>
            </w:pPr>
            <w:r w:rsidRPr="0092119E">
              <w:rPr>
                <w:rFonts w:cstheme="minorHAnsi"/>
                <w:b/>
                <w:color w:val="FFFFFF" w:themeColor="background1"/>
                <w:sz w:val="16"/>
                <w:szCs w:val="16"/>
              </w:rPr>
              <w:t>Aspectos Susceptibles de Mejora</w:t>
            </w:r>
          </w:p>
        </w:tc>
        <w:tc>
          <w:tcPr>
            <w:tcW w:w="1276" w:type="dxa"/>
            <w:vMerge w:val="restart"/>
            <w:shd w:val="clear" w:color="auto" w:fill="44546A" w:themeFill="text2"/>
            <w:textDirection w:val="btLr"/>
            <w:vAlign w:val="center"/>
          </w:tcPr>
          <w:p w:rsidR="00661D1B" w:rsidRPr="0092119E" w:rsidRDefault="00661D1B" w:rsidP="00CD36EA">
            <w:pPr>
              <w:autoSpaceDE w:val="0"/>
              <w:autoSpaceDN w:val="0"/>
              <w:adjustRightInd w:val="0"/>
              <w:ind w:left="113" w:right="113"/>
              <w:jc w:val="center"/>
              <w:rPr>
                <w:rFonts w:cstheme="minorHAnsi"/>
                <w:b/>
                <w:color w:val="FFFFFF" w:themeColor="background1"/>
                <w:sz w:val="16"/>
                <w:szCs w:val="16"/>
              </w:rPr>
            </w:pPr>
            <w:r w:rsidRPr="0092119E">
              <w:rPr>
                <w:rFonts w:cstheme="minorHAnsi"/>
                <w:b/>
                <w:color w:val="FFFFFF" w:themeColor="background1"/>
                <w:sz w:val="16"/>
                <w:szCs w:val="16"/>
              </w:rPr>
              <w:t>Actividades</w:t>
            </w:r>
          </w:p>
        </w:tc>
        <w:tc>
          <w:tcPr>
            <w:tcW w:w="1134" w:type="dxa"/>
            <w:vMerge w:val="restart"/>
            <w:shd w:val="clear" w:color="auto" w:fill="44546A" w:themeFill="text2"/>
            <w:textDirection w:val="btLr"/>
            <w:vAlign w:val="center"/>
          </w:tcPr>
          <w:p w:rsidR="00661D1B" w:rsidRPr="0092119E" w:rsidRDefault="00661D1B" w:rsidP="00CD36EA">
            <w:pPr>
              <w:autoSpaceDE w:val="0"/>
              <w:autoSpaceDN w:val="0"/>
              <w:adjustRightInd w:val="0"/>
              <w:ind w:left="113" w:right="113"/>
              <w:jc w:val="center"/>
              <w:rPr>
                <w:rFonts w:cstheme="minorHAnsi"/>
                <w:b/>
                <w:color w:val="FFFFFF" w:themeColor="background1"/>
                <w:sz w:val="16"/>
                <w:szCs w:val="16"/>
              </w:rPr>
            </w:pPr>
            <w:r w:rsidRPr="0092119E">
              <w:rPr>
                <w:rFonts w:cstheme="minorHAnsi"/>
                <w:b/>
                <w:color w:val="FFFFFF" w:themeColor="background1"/>
                <w:sz w:val="16"/>
                <w:szCs w:val="16"/>
              </w:rPr>
              <w:t>Área Responsable</w:t>
            </w:r>
          </w:p>
        </w:tc>
        <w:tc>
          <w:tcPr>
            <w:tcW w:w="1418" w:type="dxa"/>
            <w:gridSpan w:val="2"/>
            <w:shd w:val="clear" w:color="auto" w:fill="44546A" w:themeFill="text2"/>
            <w:textDirection w:val="btLr"/>
            <w:vAlign w:val="center"/>
          </w:tcPr>
          <w:p w:rsidR="00661D1B" w:rsidRPr="0092119E" w:rsidRDefault="00661D1B" w:rsidP="00CD36EA">
            <w:pPr>
              <w:autoSpaceDE w:val="0"/>
              <w:autoSpaceDN w:val="0"/>
              <w:adjustRightInd w:val="0"/>
              <w:ind w:left="113" w:right="113"/>
              <w:jc w:val="center"/>
              <w:rPr>
                <w:rFonts w:cstheme="minorHAnsi"/>
                <w:b/>
                <w:color w:val="FFFFFF" w:themeColor="background1"/>
                <w:sz w:val="16"/>
                <w:szCs w:val="16"/>
              </w:rPr>
            </w:pPr>
            <w:r w:rsidRPr="0092119E">
              <w:rPr>
                <w:rFonts w:cstheme="minorHAnsi"/>
                <w:b/>
                <w:color w:val="FFFFFF" w:themeColor="background1"/>
                <w:sz w:val="16"/>
                <w:szCs w:val="16"/>
              </w:rPr>
              <w:t>Fecha compromiso del ASM</w:t>
            </w:r>
          </w:p>
        </w:tc>
        <w:tc>
          <w:tcPr>
            <w:tcW w:w="1275" w:type="dxa"/>
            <w:vMerge w:val="restart"/>
            <w:shd w:val="clear" w:color="auto" w:fill="44546A" w:themeFill="text2"/>
            <w:textDirection w:val="btLr"/>
            <w:vAlign w:val="center"/>
          </w:tcPr>
          <w:p w:rsidR="00661D1B" w:rsidRPr="0092119E" w:rsidRDefault="00661D1B" w:rsidP="00CD36EA">
            <w:pPr>
              <w:autoSpaceDE w:val="0"/>
              <w:autoSpaceDN w:val="0"/>
              <w:adjustRightInd w:val="0"/>
              <w:ind w:left="113" w:right="113"/>
              <w:jc w:val="center"/>
              <w:rPr>
                <w:rFonts w:cstheme="minorHAnsi"/>
                <w:b/>
                <w:color w:val="FFFFFF" w:themeColor="background1"/>
                <w:sz w:val="16"/>
                <w:szCs w:val="16"/>
              </w:rPr>
            </w:pPr>
            <w:r w:rsidRPr="0092119E">
              <w:rPr>
                <w:rFonts w:cstheme="minorHAnsi"/>
                <w:b/>
                <w:color w:val="FFFFFF" w:themeColor="background1"/>
                <w:sz w:val="16"/>
                <w:szCs w:val="16"/>
              </w:rPr>
              <w:t>Resultados Esperados</w:t>
            </w:r>
          </w:p>
        </w:tc>
        <w:tc>
          <w:tcPr>
            <w:tcW w:w="1419" w:type="dxa"/>
            <w:vMerge w:val="restart"/>
            <w:shd w:val="clear" w:color="auto" w:fill="44546A" w:themeFill="text2"/>
            <w:textDirection w:val="btLr"/>
            <w:vAlign w:val="center"/>
          </w:tcPr>
          <w:p w:rsidR="00661D1B" w:rsidRPr="0092119E" w:rsidRDefault="00661D1B" w:rsidP="00CD36EA">
            <w:pPr>
              <w:autoSpaceDE w:val="0"/>
              <w:autoSpaceDN w:val="0"/>
              <w:adjustRightInd w:val="0"/>
              <w:ind w:left="113" w:right="113"/>
              <w:jc w:val="center"/>
              <w:rPr>
                <w:rFonts w:cstheme="minorHAnsi"/>
                <w:b/>
                <w:color w:val="FFFFFF" w:themeColor="background1"/>
                <w:sz w:val="16"/>
                <w:szCs w:val="16"/>
              </w:rPr>
            </w:pPr>
            <w:r w:rsidRPr="0092119E">
              <w:rPr>
                <w:rFonts w:cstheme="minorHAnsi"/>
                <w:b/>
                <w:color w:val="FFFFFF" w:themeColor="background1"/>
                <w:sz w:val="16"/>
                <w:szCs w:val="16"/>
              </w:rPr>
              <w:t>Productos y/o Evidencias</w:t>
            </w:r>
          </w:p>
        </w:tc>
        <w:tc>
          <w:tcPr>
            <w:tcW w:w="1276" w:type="dxa"/>
            <w:gridSpan w:val="2"/>
            <w:shd w:val="clear" w:color="auto" w:fill="44546A" w:themeFill="text2"/>
            <w:textDirection w:val="btLr"/>
            <w:vAlign w:val="center"/>
          </w:tcPr>
          <w:p w:rsidR="00661D1B" w:rsidRPr="0092119E" w:rsidRDefault="00661D1B" w:rsidP="00CD36EA">
            <w:pPr>
              <w:autoSpaceDE w:val="0"/>
              <w:autoSpaceDN w:val="0"/>
              <w:adjustRightInd w:val="0"/>
              <w:ind w:left="113" w:right="113"/>
              <w:jc w:val="center"/>
              <w:rPr>
                <w:rFonts w:cstheme="minorHAnsi"/>
                <w:b/>
                <w:color w:val="FFFFFF" w:themeColor="background1"/>
                <w:sz w:val="16"/>
                <w:szCs w:val="16"/>
              </w:rPr>
            </w:pPr>
            <w:r w:rsidRPr="0092119E">
              <w:rPr>
                <w:rFonts w:cstheme="minorHAnsi"/>
                <w:b/>
                <w:color w:val="FFFFFF" w:themeColor="background1"/>
                <w:sz w:val="16"/>
                <w:szCs w:val="16"/>
              </w:rPr>
              <w:t>Avance (%) en los tres últimos años</w:t>
            </w:r>
          </w:p>
        </w:tc>
        <w:tc>
          <w:tcPr>
            <w:tcW w:w="1274" w:type="dxa"/>
            <w:vMerge w:val="restart"/>
            <w:shd w:val="clear" w:color="auto" w:fill="44546A" w:themeFill="text2"/>
            <w:textDirection w:val="btLr"/>
            <w:vAlign w:val="center"/>
          </w:tcPr>
          <w:p w:rsidR="00661D1B" w:rsidRPr="0092119E" w:rsidRDefault="00661D1B" w:rsidP="00CD36EA">
            <w:pPr>
              <w:autoSpaceDE w:val="0"/>
              <w:autoSpaceDN w:val="0"/>
              <w:adjustRightInd w:val="0"/>
              <w:ind w:left="113" w:right="113"/>
              <w:jc w:val="center"/>
              <w:rPr>
                <w:rFonts w:cstheme="minorHAnsi"/>
                <w:b/>
                <w:color w:val="FFFFFF" w:themeColor="background1"/>
                <w:sz w:val="16"/>
                <w:szCs w:val="16"/>
              </w:rPr>
            </w:pPr>
            <w:r w:rsidRPr="0092119E">
              <w:rPr>
                <w:rFonts w:cstheme="minorHAnsi"/>
                <w:b/>
                <w:color w:val="FFFFFF" w:themeColor="background1"/>
                <w:sz w:val="16"/>
                <w:szCs w:val="16"/>
              </w:rPr>
              <w:t>Identificación del documento probatorio</w:t>
            </w:r>
          </w:p>
        </w:tc>
        <w:tc>
          <w:tcPr>
            <w:tcW w:w="1560" w:type="dxa"/>
            <w:vMerge w:val="restart"/>
            <w:shd w:val="clear" w:color="auto" w:fill="44546A" w:themeFill="text2"/>
            <w:textDirection w:val="btLr"/>
            <w:vAlign w:val="center"/>
          </w:tcPr>
          <w:p w:rsidR="00661D1B" w:rsidRPr="0092119E" w:rsidRDefault="00661D1B" w:rsidP="00CD36EA">
            <w:pPr>
              <w:autoSpaceDE w:val="0"/>
              <w:autoSpaceDN w:val="0"/>
              <w:adjustRightInd w:val="0"/>
              <w:ind w:left="113" w:right="113"/>
              <w:jc w:val="center"/>
              <w:rPr>
                <w:rFonts w:cstheme="minorHAnsi"/>
                <w:b/>
                <w:color w:val="FFFFFF" w:themeColor="background1"/>
                <w:sz w:val="16"/>
                <w:szCs w:val="16"/>
              </w:rPr>
            </w:pPr>
            <w:r w:rsidRPr="0092119E">
              <w:rPr>
                <w:rFonts w:cstheme="minorHAnsi"/>
                <w:b/>
                <w:color w:val="FFFFFF" w:themeColor="background1"/>
                <w:sz w:val="16"/>
                <w:szCs w:val="16"/>
              </w:rPr>
              <w:t>Observaciones</w:t>
            </w:r>
          </w:p>
        </w:tc>
      </w:tr>
      <w:tr w:rsidR="00661D1B" w:rsidRPr="0092119E" w:rsidTr="00CD36EA">
        <w:trPr>
          <w:cantSplit/>
          <w:trHeight w:val="895"/>
          <w:tblHeader/>
        </w:trPr>
        <w:tc>
          <w:tcPr>
            <w:tcW w:w="534" w:type="dxa"/>
            <w:vMerge/>
            <w:shd w:val="clear" w:color="auto" w:fill="44546A" w:themeFill="text2"/>
            <w:textDirection w:val="btLr"/>
            <w:vAlign w:val="center"/>
          </w:tcPr>
          <w:p w:rsidR="00661D1B" w:rsidRPr="0092119E" w:rsidRDefault="00661D1B" w:rsidP="00CD36EA">
            <w:pPr>
              <w:autoSpaceDE w:val="0"/>
              <w:autoSpaceDN w:val="0"/>
              <w:adjustRightInd w:val="0"/>
              <w:ind w:left="113" w:right="113"/>
              <w:jc w:val="center"/>
              <w:rPr>
                <w:rFonts w:cstheme="minorHAnsi"/>
                <w:b/>
                <w:color w:val="262626" w:themeColor="text1" w:themeTint="D9"/>
                <w:sz w:val="16"/>
                <w:szCs w:val="16"/>
              </w:rPr>
            </w:pPr>
          </w:p>
        </w:tc>
        <w:tc>
          <w:tcPr>
            <w:tcW w:w="1304" w:type="dxa"/>
            <w:vMerge/>
            <w:shd w:val="clear" w:color="auto" w:fill="44546A" w:themeFill="text2"/>
            <w:textDirection w:val="btLr"/>
            <w:vAlign w:val="center"/>
          </w:tcPr>
          <w:p w:rsidR="00661D1B" w:rsidRPr="0092119E" w:rsidRDefault="00661D1B" w:rsidP="00CD36EA">
            <w:pPr>
              <w:autoSpaceDE w:val="0"/>
              <w:autoSpaceDN w:val="0"/>
              <w:adjustRightInd w:val="0"/>
              <w:ind w:left="113" w:right="113"/>
              <w:jc w:val="center"/>
              <w:rPr>
                <w:rFonts w:cstheme="minorHAnsi"/>
                <w:b/>
                <w:color w:val="262626" w:themeColor="text1" w:themeTint="D9"/>
                <w:sz w:val="16"/>
                <w:szCs w:val="16"/>
              </w:rPr>
            </w:pPr>
          </w:p>
        </w:tc>
        <w:tc>
          <w:tcPr>
            <w:tcW w:w="1276" w:type="dxa"/>
            <w:vMerge/>
            <w:shd w:val="clear" w:color="auto" w:fill="44546A" w:themeFill="text2"/>
            <w:textDirection w:val="btLr"/>
            <w:vAlign w:val="center"/>
          </w:tcPr>
          <w:p w:rsidR="00661D1B" w:rsidRPr="0092119E" w:rsidRDefault="00661D1B" w:rsidP="00CD36EA">
            <w:pPr>
              <w:autoSpaceDE w:val="0"/>
              <w:autoSpaceDN w:val="0"/>
              <w:adjustRightInd w:val="0"/>
              <w:ind w:left="113" w:right="113"/>
              <w:jc w:val="center"/>
              <w:rPr>
                <w:rFonts w:cstheme="minorHAnsi"/>
                <w:b/>
                <w:color w:val="262626" w:themeColor="text1" w:themeTint="D9"/>
                <w:sz w:val="16"/>
                <w:szCs w:val="16"/>
              </w:rPr>
            </w:pPr>
          </w:p>
        </w:tc>
        <w:tc>
          <w:tcPr>
            <w:tcW w:w="1134" w:type="dxa"/>
            <w:vMerge/>
            <w:shd w:val="clear" w:color="auto" w:fill="44546A" w:themeFill="text2"/>
            <w:textDirection w:val="btLr"/>
            <w:vAlign w:val="center"/>
          </w:tcPr>
          <w:p w:rsidR="00661D1B" w:rsidRPr="0092119E" w:rsidRDefault="00661D1B" w:rsidP="00CD36EA">
            <w:pPr>
              <w:autoSpaceDE w:val="0"/>
              <w:autoSpaceDN w:val="0"/>
              <w:adjustRightInd w:val="0"/>
              <w:ind w:left="113" w:right="113"/>
              <w:jc w:val="center"/>
              <w:rPr>
                <w:rFonts w:cstheme="minorHAnsi"/>
                <w:b/>
                <w:color w:val="262626" w:themeColor="text1" w:themeTint="D9"/>
                <w:sz w:val="16"/>
                <w:szCs w:val="16"/>
              </w:rPr>
            </w:pPr>
          </w:p>
        </w:tc>
        <w:tc>
          <w:tcPr>
            <w:tcW w:w="709" w:type="dxa"/>
            <w:shd w:val="clear" w:color="auto" w:fill="44546A" w:themeFill="text2"/>
            <w:textDirection w:val="btLr"/>
          </w:tcPr>
          <w:p w:rsidR="00661D1B" w:rsidRPr="0092119E" w:rsidRDefault="00661D1B" w:rsidP="00CD36EA">
            <w:pPr>
              <w:autoSpaceDE w:val="0"/>
              <w:autoSpaceDN w:val="0"/>
              <w:adjustRightInd w:val="0"/>
              <w:ind w:left="113" w:right="113"/>
              <w:jc w:val="center"/>
              <w:rPr>
                <w:rFonts w:cstheme="minorHAnsi"/>
                <w:b/>
                <w:color w:val="FFFFFF" w:themeColor="background1"/>
                <w:sz w:val="16"/>
                <w:szCs w:val="16"/>
              </w:rPr>
            </w:pPr>
            <w:r w:rsidRPr="0092119E">
              <w:rPr>
                <w:rFonts w:cstheme="minorHAnsi"/>
                <w:b/>
                <w:color w:val="FFFFFF" w:themeColor="background1"/>
                <w:sz w:val="16"/>
                <w:szCs w:val="16"/>
              </w:rPr>
              <w:t>Ciclo de inicio</w:t>
            </w:r>
          </w:p>
        </w:tc>
        <w:tc>
          <w:tcPr>
            <w:tcW w:w="709" w:type="dxa"/>
            <w:shd w:val="clear" w:color="auto" w:fill="44546A" w:themeFill="text2"/>
            <w:textDirection w:val="btLr"/>
            <w:vAlign w:val="center"/>
          </w:tcPr>
          <w:p w:rsidR="00661D1B" w:rsidRPr="0092119E" w:rsidRDefault="00661D1B" w:rsidP="00CD36EA">
            <w:pPr>
              <w:autoSpaceDE w:val="0"/>
              <w:autoSpaceDN w:val="0"/>
              <w:adjustRightInd w:val="0"/>
              <w:ind w:left="113" w:right="113"/>
              <w:jc w:val="center"/>
              <w:rPr>
                <w:rFonts w:cstheme="minorHAnsi"/>
                <w:b/>
                <w:color w:val="FFFFFF" w:themeColor="background1"/>
                <w:sz w:val="16"/>
                <w:szCs w:val="16"/>
              </w:rPr>
            </w:pPr>
            <w:r w:rsidRPr="0092119E">
              <w:rPr>
                <w:rFonts w:cstheme="minorHAnsi"/>
                <w:b/>
                <w:color w:val="FFFFFF" w:themeColor="background1"/>
                <w:sz w:val="16"/>
                <w:szCs w:val="16"/>
              </w:rPr>
              <w:t>Fecha de Término</w:t>
            </w:r>
          </w:p>
        </w:tc>
        <w:tc>
          <w:tcPr>
            <w:tcW w:w="1275" w:type="dxa"/>
            <w:vMerge/>
            <w:shd w:val="clear" w:color="auto" w:fill="44546A" w:themeFill="text2"/>
            <w:textDirection w:val="btLr"/>
            <w:vAlign w:val="center"/>
          </w:tcPr>
          <w:p w:rsidR="00661D1B" w:rsidRPr="0092119E" w:rsidRDefault="00661D1B" w:rsidP="00CD36EA">
            <w:pPr>
              <w:autoSpaceDE w:val="0"/>
              <w:autoSpaceDN w:val="0"/>
              <w:adjustRightInd w:val="0"/>
              <w:ind w:left="113" w:right="113"/>
              <w:jc w:val="center"/>
              <w:rPr>
                <w:rFonts w:cstheme="minorHAnsi"/>
                <w:b/>
                <w:color w:val="FFFFFF" w:themeColor="background1"/>
                <w:sz w:val="16"/>
                <w:szCs w:val="16"/>
              </w:rPr>
            </w:pPr>
          </w:p>
        </w:tc>
        <w:tc>
          <w:tcPr>
            <w:tcW w:w="1419" w:type="dxa"/>
            <w:vMerge/>
            <w:shd w:val="clear" w:color="auto" w:fill="44546A" w:themeFill="text2"/>
            <w:textDirection w:val="btLr"/>
            <w:vAlign w:val="center"/>
          </w:tcPr>
          <w:p w:rsidR="00661D1B" w:rsidRPr="0092119E" w:rsidRDefault="00661D1B" w:rsidP="00CD36EA">
            <w:pPr>
              <w:autoSpaceDE w:val="0"/>
              <w:autoSpaceDN w:val="0"/>
              <w:adjustRightInd w:val="0"/>
              <w:ind w:left="113" w:right="113"/>
              <w:jc w:val="center"/>
              <w:rPr>
                <w:rFonts w:cstheme="minorHAnsi"/>
                <w:b/>
                <w:color w:val="FFFFFF" w:themeColor="background1"/>
                <w:sz w:val="16"/>
                <w:szCs w:val="16"/>
              </w:rPr>
            </w:pPr>
          </w:p>
        </w:tc>
        <w:tc>
          <w:tcPr>
            <w:tcW w:w="567" w:type="dxa"/>
            <w:shd w:val="clear" w:color="auto" w:fill="44546A" w:themeFill="text2"/>
            <w:textDirection w:val="btLr"/>
            <w:vAlign w:val="center"/>
          </w:tcPr>
          <w:p w:rsidR="00661D1B" w:rsidRPr="0092119E" w:rsidRDefault="00661D1B" w:rsidP="00CD36EA">
            <w:pPr>
              <w:autoSpaceDE w:val="0"/>
              <w:autoSpaceDN w:val="0"/>
              <w:adjustRightInd w:val="0"/>
              <w:ind w:left="113" w:right="113"/>
              <w:jc w:val="center"/>
              <w:rPr>
                <w:rFonts w:cstheme="minorHAnsi"/>
                <w:b/>
                <w:color w:val="FFFFFF" w:themeColor="background1"/>
                <w:sz w:val="16"/>
                <w:szCs w:val="16"/>
              </w:rPr>
            </w:pPr>
            <w:r w:rsidRPr="0092119E">
              <w:rPr>
                <w:rFonts w:cstheme="minorHAnsi"/>
                <w:b/>
                <w:color w:val="FFFFFF" w:themeColor="background1"/>
                <w:sz w:val="16"/>
                <w:szCs w:val="16"/>
              </w:rPr>
              <w:t>Sep-16</w:t>
            </w:r>
          </w:p>
        </w:tc>
        <w:tc>
          <w:tcPr>
            <w:tcW w:w="709" w:type="dxa"/>
            <w:shd w:val="clear" w:color="auto" w:fill="44546A" w:themeFill="text2"/>
            <w:textDirection w:val="btLr"/>
            <w:vAlign w:val="center"/>
          </w:tcPr>
          <w:p w:rsidR="00661D1B" w:rsidRPr="0092119E" w:rsidRDefault="00661D1B" w:rsidP="00CD36EA">
            <w:pPr>
              <w:autoSpaceDE w:val="0"/>
              <w:autoSpaceDN w:val="0"/>
              <w:adjustRightInd w:val="0"/>
              <w:ind w:left="113" w:right="113"/>
              <w:jc w:val="center"/>
              <w:rPr>
                <w:rFonts w:cstheme="minorHAnsi"/>
                <w:b/>
                <w:color w:val="FFFFFF" w:themeColor="background1"/>
                <w:sz w:val="16"/>
                <w:szCs w:val="16"/>
              </w:rPr>
            </w:pPr>
            <w:r w:rsidRPr="0092119E">
              <w:rPr>
                <w:rFonts w:cstheme="minorHAnsi"/>
                <w:b/>
                <w:color w:val="FFFFFF" w:themeColor="background1"/>
                <w:sz w:val="16"/>
                <w:szCs w:val="16"/>
              </w:rPr>
              <w:t>Abr-18</w:t>
            </w:r>
          </w:p>
        </w:tc>
        <w:tc>
          <w:tcPr>
            <w:tcW w:w="1274" w:type="dxa"/>
            <w:vMerge/>
            <w:shd w:val="clear" w:color="auto" w:fill="44546A" w:themeFill="text2"/>
            <w:textDirection w:val="btLr"/>
          </w:tcPr>
          <w:p w:rsidR="00661D1B" w:rsidRPr="0092119E" w:rsidRDefault="00661D1B" w:rsidP="00CD36EA">
            <w:pPr>
              <w:autoSpaceDE w:val="0"/>
              <w:autoSpaceDN w:val="0"/>
              <w:adjustRightInd w:val="0"/>
              <w:ind w:left="113" w:right="113"/>
              <w:jc w:val="center"/>
              <w:rPr>
                <w:rFonts w:cstheme="minorHAnsi"/>
                <w:b/>
                <w:color w:val="262626" w:themeColor="text1" w:themeTint="D9"/>
                <w:sz w:val="16"/>
                <w:szCs w:val="16"/>
                <w:highlight w:val="darkBlue"/>
              </w:rPr>
            </w:pPr>
          </w:p>
        </w:tc>
        <w:tc>
          <w:tcPr>
            <w:tcW w:w="1560" w:type="dxa"/>
            <w:vMerge/>
            <w:shd w:val="clear" w:color="auto" w:fill="44546A" w:themeFill="text2"/>
            <w:textDirection w:val="btLr"/>
            <w:vAlign w:val="center"/>
          </w:tcPr>
          <w:p w:rsidR="00661D1B" w:rsidRPr="0092119E" w:rsidRDefault="00661D1B" w:rsidP="00CD36EA">
            <w:pPr>
              <w:autoSpaceDE w:val="0"/>
              <w:autoSpaceDN w:val="0"/>
              <w:adjustRightInd w:val="0"/>
              <w:ind w:left="113" w:right="113"/>
              <w:jc w:val="center"/>
              <w:rPr>
                <w:rFonts w:cstheme="minorHAnsi"/>
                <w:b/>
                <w:color w:val="262626" w:themeColor="text1" w:themeTint="D9"/>
                <w:sz w:val="16"/>
                <w:szCs w:val="16"/>
              </w:rPr>
            </w:pPr>
          </w:p>
        </w:tc>
      </w:tr>
      <w:tr w:rsidR="00661D1B" w:rsidRPr="0092119E" w:rsidTr="00CD36EA">
        <w:trPr>
          <w:cantSplit/>
          <w:trHeight w:val="360"/>
        </w:trPr>
        <w:tc>
          <w:tcPr>
            <w:tcW w:w="534" w:type="dxa"/>
          </w:tcPr>
          <w:p w:rsidR="00661D1B" w:rsidRPr="0092119E" w:rsidRDefault="00661D1B" w:rsidP="00CD36EA">
            <w:pPr>
              <w:rPr>
                <w:rFonts w:cstheme="minorHAnsi"/>
                <w:sz w:val="16"/>
                <w:szCs w:val="16"/>
              </w:rPr>
            </w:pPr>
            <w:r w:rsidRPr="0092119E">
              <w:rPr>
                <w:rFonts w:cstheme="minorHAnsi"/>
                <w:sz w:val="16"/>
                <w:szCs w:val="16"/>
              </w:rPr>
              <w:t>1</w:t>
            </w:r>
          </w:p>
        </w:tc>
        <w:tc>
          <w:tcPr>
            <w:tcW w:w="1304" w:type="dxa"/>
          </w:tcPr>
          <w:p w:rsidR="00661D1B" w:rsidRPr="0092119E" w:rsidRDefault="00661D1B" w:rsidP="00CD36EA">
            <w:pPr>
              <w:rPr>
                <w:rFonts w:cstheme="minorHAnsi"/>
                <w:sz w:val="16"/>
                <w:szCs w:val="16"/>
              </w:rPr>
            </w:pPr>
            <w:r w:rsidRPr="0092119E">
              <w:rPr>
                <w:rFonts w:cstheme="minorHAnsi"/>
                <w:sz w:val="16"/>
                <w:szCs w:val="16"/>
              </w:rPr>
              <w:t>Proporcionar las justificaciones del avance de metas y diseñar la metodología para calcular las metas del programa</w:t>
            </w:r>
            <w:r>
              <w:rPr>
                <w:rFonts w:cstheme="minorHAnsi"/>
                <w:sz w:val="16"/>
                <w:szCs w:val="16"/>
              </w:rPr>
              <w:t>.</w:t>
            </w:r>
          </w:p>
        </w:tc>
        <w:tc>
          <w:tcPr>
            <w:tcW w:w="1276" w:type="dxa"/>
          </w:tcPr>
          <w:p w:rsidR="00661D1B" w:rsidRPr="0092119E" w:rsidRDefault="00661D1B" w:rsidP="00CD36EA">
            <w:pPr>
              <w:rPr>
                <w:rFonts w:cstheme="minorHAnsi"/>
                <w:sz w:val="16"/>
                <w:szCs w:val="16"/>
              </w:rPr>
            </w:pPr>
            <w:r w:rsidRPr="0092119E">
              <w:rPr>
                <w:rFonts w:cstheme="minorHAnsi"/>
                <w:sz w:val="16"/>
                <w:szCs w:val="16"/>
              </w:rPr>
              <w:t>Desarrollo de metodología del cálculo de metas</w:t>
            </w:r>
          </w:p>
        </w:tc>
        <w:tc>
          <w:tcPr>
            <w:tcW w:w="1134" w:type="dxa"/>
          </w:tcPr>
          <w:p w:rsidR="00661D1B" w:rsidRPr="0092119E" w:rsidRDefault="00661D1B" w:rsidP="00CD36EA">
            <w:pPr>
              <w:rPr>
                <w:rFonts w:cstheme="minorHAnsi"/>
                <w:sz w:val="16"/>
                <w:szCs w:val="16"/>
              </w:rPr>
            </w:pPr>
            <w:r w:rsidRPr="0092119E">
              <w:rPr>
                <w:rFonts w:cstheme="minorHAnsi"/>
                <w:sz w:val="16"/>
                <w:szCs w:val="16"/>
              </w:rPr>
              <w:t>Secretarios Técnicos de los fondos del programa S192</w:t>
            </w:r>
          </w:p>
        </w:tc>
        <w:tc>
          <w:tcPr>
            <w:tcW w:w="709" w:type="dxa"/>
          </w:tcPr>
          <w:p w:rsidR="00661D1B" w:rsidRPr="0092119E" w:rsidRDefault="00661D1B" w:rsidP="00CD36EA">
            <w:pPr>
              <w:rPr>
                <w:rFonts w:cstheme="minorHAnsi"/>
                <w:sz w:val="16"/>
                <w:szCs w:val="16"/>
              </w:rPr>
            </w:pPr>
            <w:r w:rsidRPr="0092119E">
              <w:rPr>
                <w:rFonts w:cstheme="minorHAnsi"/>
                <w:sz w:val="16"/>
                <w:szCs w:val="16"/>
              </w:rPr>
              <w:t>2015-2016</w:t>
            </w:r>
          </w:p>
        </w:tc>
        <w:tc>
          <w:tcPr>
            <w:tcW w:w="709" w:type="dxa"/>
          </w:tcPr>
          <w:p w:rsidR="00661D1B" w:rsidRPr="0092119E" w:rsidRDefault="00661D1B" w:rsidP="00CD36EA">
            <w:pPr>
              <w:rPr>
                <w:rFonts w:cstheme="minorHAnsi"/>
                <w:sz w:val="16"/>
                <w:szCs w:val="16"/>
              </w:rPr>
            </w:pPr>
            <w:r w:rsidRPr="0092119E">
              <w:rPr>
                <w:rFonts w:cstheme="minorHAnsi"/>
                <w:sz w:val="16"/>
                <w:szCs w:val="16"/>
              </w:rPr>
              <w:t>30/06/2016</w:t>
            </w:r>
          </w:p>
        </w:tc>
        <w:tc>
          <w:tcPr>
            <w:tcW w:w="1275" w:type="dxa"/>
          </w:tcPr>
          <w:p w:rsidR="00661D1B" w:rsidRPr="0092119E" w:rsidRDefault="00661D1B" w:rsidP="00CD36EA">
            <w:pPr>
              <w:rPr>
                <w:rFonts w:cstheme="minorHAnsi"/>
                <w:sz w:val="16"/>
                <w:szCs w:val="16"/>
              </w:rPr>
            </w:pPr>
            <w:r w:rsidRPr="0092119E">
              <w:rPr>
                <w:rFonts w:cstheme="minorHAnsi"/>
                <w:sz w:val="16"/>
                <w:szCs w:val="16"/>
              </w:rPr>
              <w:t>Identificar una metodología que permita el cálculo de las metas del programa</w:t>
            </w:r>
          </w:p>
        </w:tc>
        <w:tc>
          <w:tcPr>
            <w:tcW w:w="1419" w:type="dxa"/>
          </w:tcPr>
          <w:p w:rsidR="00661D1B" w:rsidRPr="0092119E" w:rsidRDefault="00661D1B" w:rsidP="00CD36EA">
            <w:pPr>
              <w:rPr>
                <w:rFonts w:cstheme="minorHAnsi"/>
                <w:sz w:val="16"/>
                <w:szCs w:val="16"/>
              </w:rPr>
            </w:pPr>
            <w:r w:rsidRPr="0092119E">
              <w:rPr>
                <w:rFonts w:cstheme="minorHAnsi"/>
                <w:sz w:val="16"/>
                <w:szCs w:val="16"/>
              </w:rPr>
              <w:t>Se obtendrá un método de cálculo para las metas que el programa alcanzará en el siguiente año, con una justificación cuantitativa.</w:t>
            </w:r>
          </w:p>
        </w:tc>
        <w:tc>
          <w:tcPr>
            <w:tcW w:w="567" w:type="dxa"/>
          </w:tcPr>
          <w:p w:rsidR="00661D1B" w:rsidRPr="0092119E" w:rsidRDefault="00661D1B" w:rsidP="00CD36EA">
            <w:pPr>
              <w:rPr>
                <w:rFonts w:cstheme="minorHAnsi"/>
                <w:sz w:val="16"/>
                <w:szCs w:val="16"/>
              </w:rPr>
            </w:pPr>
            <w:r w:rsidRPr="0092119E">
              <w:rPr>
                <w:rFonts w:cstheme="minorHAnsi"/>
                <w:sz w:val="16"/>
                <w:szCs w:val="16"/>
              </w:rPr>
              <w:t>60%</w:t>
            </w:r>
          </w:p>
        </w:tc>
        <w:tc>
          <w:tcPr>
            <w:tcW w:w="709" w:type="dxa"/>
          </w:tcPr>
          <w:p w:rsidR="00661D1B" w:rsidRPr="0092119E" w:rsidRDefault="00661D1B" w:rsidP="00CD36EA">
            <w:pPr>
              <w:rPr>
                <w:rFonts w:cstheme="minorHAnsi"/>
                <w:sz w:val="16"/>
                <w:szCs w:val="16"/>
              </w:rPr>
            </w:pPr>
            <w:r w:rsidRPr="0092119E">
              <w:rPr>
                <w:rFonts w:cstheme="minorHAnsi"/>
                <w:sz w:val="16"/>
                <w:szCs w:val="16"/>
              </w:rPr>
              <w:t>100%</w:t>
            </w:r>
          </w:p>
        </w:tc>
        <w:tc>
          <w:tcPr>
            <w:tcW w:w="1274" w:type="dxa"/>
          </w:tcPr>
          <w:p w:rsidR="00661D1B" w:rsidRPr="0092119E" w:rsidRDefault="00661D1B" w:rsidP="00CD36EA">
            <w:pPr>
              <w:rPr>
                <w:rFonts w:cstheme="minorHAnsi"/>
                <w:sz w:val="16"/>
                <w:szCs w:val="16"/>
              </w:rPr>
            </w:pPr>
            <w:r w:rsidRPr="0092119E">
              <w:rPr>
                <w:rFonts w:cstheme="minorHAnsi"/>
                <w:sz w:val="16"/>
                <w:szCs w:val="16"/>
              </w:rPr>
              <w:t>Nota metodológica para cálculo de metas MIR Programa S192</w:t>
            </w:r>
          </w:p>
        </w:tc>
        <w:tc>
          <w:tcPr>
            <w:tcW w:w="1560" w:type="dxa"/>
          </w:tcPr>
          <w:p w:rsidR="00661D1B" w:rsidRPr="0092119E" w:rsidRDefault="00661D1B" w:rsidP="00CD36EA">
            <w:pPr>
              <w:rPr>
                <w:rFonts w:cstheme="minorHAnsi"/>
                <w:sz w:val="16"/>
                <w:szCs w:val="16"/>
              </w:rPr>
            </w:pPr>
            <w:r w:rsidRPr="0092119E">
              <w:rPr>
                <w:rFonts w:cstheme="minorHAnsi"/>
                <w:sz w:val="16"/>
                <w:szCs w:val="16"/>
              </w:rPr>
              <w:t>El avance reportado en los documentos de tr</w:t>
            </w:r>
            <w:r>
              <w:rPr>
                <w:rFonts w:cstheme="minorHAnsi"/>
                <w:sz w:val="16"/>
                <w:szCs w:val="16"/>
              </w:rPr>
              <w:t>a</w:t>
            </w:r>
            <w:r w:rsidRPr="0092119E">
              <w:rPr>
                <w:rFonts w:cstheme="minorHAnsi"/>
                <w:sz w:val="16"/>
                <w:szCs w:val="16"/>
              </w:rPr>
              <w:t>bajo era de 80%</w:t>
            </w:r>
            <w:r>
              <w:rPr>
                <w:rFonts w:cstheme="minorHAnsi"/>
                <w:sz w:val="16"/>
                <w:szCs w:val="16"/>
              </w:rPr>
              <w:t>,</w:t>
            </w:r>
            <w:r w:rsidRPr="0092119E">
              <w:rPr>
                <w:rFonts w:cstheme="minorHAnsi"/>
                <w:sz w:val="16"/>
                <w:szCs w:val="16"/>
              </w:rPr>
              <w:t xml:space="preserve"> pero el Portal de Trasparencia Presupuestaria lo reporta al 100%.</w:t>
            </w:r>
          </w:p>
        </w:tc>
      </w:tr>
      <w:tr w:rsidR="00661D1B" w:rsidRPr="0092119E" w:rsidTr="00CD36EA">
        <w:trPr>
          <w:cantSplit/>
          <w:trHeight w:val="360"/>
        </w:trPr>
        <w:tc>
          <w:tcPr>
            <w:tcW w:w="534" w:type="dxa"/>
          </w:tcPr>
          <w:p w:rsidR="00661D1B" w:rsidRPr="0092119E" w:rsidRDefault="00661D1B" w:rsidP="00CD36EA">
            <w:pPr>
              <w:rPr>
                <w:rFonts w:cstheme="minorHAnsi"/>
                <w:sz w:val="16"/>
                <w:szCs w:val="16"/>
              </w:rPr>
            </w:pPr>
            <w:r w:rsidRPr="0092119E">
              <w:rPr>
                <w:rFonts w:cstheme="minorHAnsi"/>
                <w:sz w:val="16"/>
                <w:szCs w:val="16"/>
              </w:rPr>
              <w:lastRenderedPageBreak/>
              <w:t>2</w:t>
            </w:r>
          </w:p>
        </w:tc>
        <w:tc>
          <w:tcPr>
            <w:tcW w:w="1304" w:type="dxa"/>
          </w:tcPr>
          <w:p w:rsidR="00661D1B" w:rsidRPr="0092119E" w:rsidRDefault="00661D1B" w:rsidP="00CD36EA">
            <w:pPr>
              <w:rPr>
                <w:rFonts w:cstheme="minorHAnsi"/>
                <w:sz w:val="16"/>
                <w:szCs w:val="16"/>
              </w:rPr>
            </w:pPr>
            <w:r w:rsidRPr="0092119E">
              <w:rPr>
                <w:rFonts w:cstheme="minorHAnsi"/>
                <w:sz w:val="16"/>
                <w:szCs w:val="16"/>
              </w:rPr>
              <w:t>Redefinición de la población potencial, objetivo y atendida del programa</w:t>
            </w:r>
          </w:p>
        </w:tc>
        <w:tc>
          <w:tcPr>
            <w:tcW w:w="1276" w:type="dxa"/>
          </w:tcPr>
          <w:p w:rsidR="00661D1B" w:rsidRPr="0092119E" w:rsidRDefault="00661D1B" w:rsidP="00CD36EA">
            <w:pPr>
              <w:rPr>
                <w:rFonts w:cstheme="minorHAnsi"/>
                <w:sz w:val="16"/>
                <w:szCs w:val="16"/>
              </w:rPr>
            </w:pPr>
            <w:r w:rsidRPr="0092119E">
              <w:rPr>
                <w:rFonts w:cstheme="minorHAnsi"/>
                <w:sz w:val="16"/>
                <w:szCs w:val="16"/>
              </w:rPr>
              <w:t xml:space="preserve">Definición de la cobertura de poblaciones </w:t>
            </w:r>
          </w:p>
        </w:tc>
        <w:tc>
          <w:tcPr>
            <w:tcW w:w="1134" w:type="dxa"/>
          </w:tcPr>
          <w:p w:rsidR="00661D1B" w:rsidRPr="0092119E" w:rsidRDefault="00661D1B" w:rsidP="00CD36EA">
            <w:pPr>
              <w:rPr>
                <w:rFonts w:cstheme="minorHAnsi"/>
                <w:sz w:val="16"/>
                <w:szCs w:val="16"/>
              </w:rPr>
            </w:pPr>
            <w:r w:rsidRPr="0092119E">
              <w:rPr>
                <w:rFonts w:cstheme="minorHAnsi"/>
                <w:sz w:val="16"/>
                <w:szCs w:val="16"/>
              </w:rPr>
              <w:t>Secretarios Técnicos de los fondos del programa S192</w:t>
            </w:r>
          </w:p>
        </w:tc>
        <w:tc>
          <w:tcPr>
            <w:tcW w:w="709" w:type="dxa"/>
          </w:tcPr>
          <w:p w:rsidR="00661D1B" w:rsidRPr="0092119E" w:rsidRDefault="00661D1B" w:rsidP="00CD36EA">
            <w:pPr>
              <w:rPr>
                <w:rFonts w:cstheme="minorHAnsi"/>
                <w:sz w:val="16"/>
                <w:szCs w:val="16"/>
              </w:rPr>
            </w:pPr>
            <w:r w:rsidRPr="0092119E">
              <w:rPr>
                <w:rFonts w:cstheme="minorHAnsi"/>
                <w:sz w:val="16"/>
                <w:szCs w:val="16"/>
              </w:rPr>
              <w:t>2015-2016</w:t>
            </w:r>
          </w:p>
        </w:tc>
        <w:tc>
          <w:tcPr>
            <w:tcW w:w="709" w:type="dxa"/>
          </w:tcPr>
          <w:p w:rsidR="00661D1B" w:rsidRPr="0092119E" w:rsidRDefault="00661D1B" w:rsidP="00CD36EA">
            <w:pPr>
              <w:rPr>
                <w:rFonts w:cstheme="minorHAnsi"/>
                <w:sz w:val="16"/>
                <w:szCs w:val="16"/>
              </w:rPr>
            </w:pPr>
            <w:r w:rsidRPr="0092119E">
              <w:rPr>
                <w:rFonts w:cstheme="minorHAnsi"/>
                <w:sz w:val="16"/>
                <w:szCs w:val="16"/>
              </w:rPr>
              <w:t>30/06/2016</w:t>
            </w:r>
          </w:p>
        </w:tc>
        <w:tc>
          <w:tcPr>
            <w:tcW w:w="1275" w:type="dxa"/>
          </w:tcPr>
          <w:p w:rsidR="00661D1B" w:rsidRPr="0092119E" w:rsidRDefault="00661D1B" w:rsidP="00CD36EA">
            <w:pPr>
              <w:rPr>
                <w:rFonts w:cstheme="minorHAnsi"/>
                <w:sz w:val="16"/>
                <w:szCs w:val="16"/>
              </w:rPr>
            </w:pPr>
            <w:r w:rsidRPr="0092119E">
              <w:rPr>
                <w:rFonts w:cstheme="minorHAnsi"/>
                <w:sz w:val="16"/>
                <w:szCs w:val="16"/>
              </w:rPr>
              <w:t>Formular definiciones de las poblaciones</w:t>
            </w:r>
          </w:p>
        </w:tc>
        <w:tc>
          <w:tcPr>
            <w:tcW w:w="1419" w:type="dxa"/>
          </w:tcPr>
          <w:p w:rsidR="00661D1B" w:rsidRPr="0092119E" w:rsidRDefault="00661D1B" w:rsidP="00CD36EA">
            <w:pPr>
              <w:rPr>
                <w:rFonts w:cstheme="minorHAnsi"/>
                <w:sz w:val="16"/>
                <w:szCs w:val="16"/>
              </w:rPr>
            </w:pPr>
            <w:r w:rsidRPr="0092119E">
              <w:rPr>
                <w:rFonts w:cstheme="minorHAnsi"/>
                <w:sz w:val="16"/>
                <w:szCs w:val="16"/>
              </w:rPr>
              <w:t>Elaboración de un documento que cuente con definiciones de las poblaciones Potencial, Objetivo y Atendida dentro del programa.</w:t>
            </w:r>
          </w:p>
        </w:tc>
        <w:tc>
          <w:tcPr>
            <w:tcW w:w="567" w:type="dxa"/>
          </w:tcPr>
          <w:p w:rsidR="00661D1B" w:rsidRPr="0092119E" w:rsidRDefault="00661D1B" w:rsidP="00CD36EA">
            <w:pPr>
              <w:rPr>
                <w:rFonts w:cstheme="minorHAnsi"/>
                <w:sz w:val="16"/>
                <w:szCs w:val="16"/>
              </w:rPr>
            </w:pPr>
            <w:r w:rsidRPr="0092119E">
              <w:rPr>
                <w:rFonts w:cstheme="minorHAnsi"/>
                <w:sz w:val="16"/>
                <w:szCs w:val="16"/>
              </w:rPr>
              <w:t>80%</w:t>
            </w:r>
          </w:p>
        </w:tc>
        <w:tc>
          <w:tcPr>
            <w:tcW w:w="709" w:type="dxa"/>
          </w:tcPr>
          <w:p w:rsidR="00661D1B" w:rsidRPr="0092119E" w:rsidRDefault="00661D1B" w:rsidP="00CD36EA">
            <w:pPr>
              <w:rPr>
                <w:rFonts w:cstheme="minorHAnsi"/>
                <w:sz w:val="16"/>
                <w:szCs w:val="16"/>
              </w:rPr>
            </w:pPr>
            <w:r w:rsidRPr="0092119E">
              <w:rPr>
                <w:rFonts w:cstheme="minorHAnsi"/>
                <w:sz w:val="16"/>
                <w:szCs w:val="16"/>
              </w:rPr>
              <w:t>100%</w:t>
            </w:r>
          </w:p>
        </w:tc>
        <w:tc>
          <w:tcPr>
            <w:tcW w:w="1274" w:type="dxa"/>
          </w:tcPr>
          <w:p w:rsidR="00661D1B" w:rsidRPr="0092119E" w:rsidRDefault="00661D1B" w:rsidP="00CD36EA">
            <w:pPr>
              <w:rPr>
                <w:rFonts w:cstheme="minorHAnsi"/>
                <w:sz w:val="16"/>
                <w:szCs w:val="16"/>
              </w:rPr>
            </w:pPr>
            <w:r w:rsidRPr="0092119E">
              <w:rPr>
                <w:rFonts w:cstheme="minorHAnsi"/>
                <w:sz w:val="16"/>
                <w:szCs w:val="16"/>
              </w:rPr>
              <w:t>Nota metodológica para el cálculo de poblaciones Programa S192</w:t>
            </w:r>
          </w:p>
        </w:tc>
        <w:tc>
          <w:tcPr>
            <w:tcW w:w="1560" w:type="dxa"/>
          </w:tcPr>
          <w:p w:rsidR="00661D1B" w:rsidRPr="0092119E" w:rsidRDefault="00661D1B" w:rsidP="00CD36EA">
            <w:pPr>
              <w:rPr>
                <w:rFonts w:cstheme="minorHAnsi"/>
                <w:sz w:val="16"/>
                <w:szCs w:val="16"/>
              </w:rPr>
            </w:pPr>
            <w:r w:rsidRPr="0092119E">
              <w:rPr>
                <w:rFonts w:cstheme="minorHAnsi"/>
                <w:sz w:val="16"/>
                <w:szCs w:val="16"/>
              </w:rPr>
              <w:t>El avance reportado en los documentos de tr</w:t>
            </w:r>
            <w:r>
              <w:rPr>
                <w:rFonts w:cstheme="minorHAnsi"/>
                <w:sz w:val="16"/>
                <w:szCs w:val="16"/>
              </w:rPr>
              <w:t>a</w:t>
            </w:r>
            <w:r w:rsidRPr="0092119E">
              <w:rPr>
                <w:rFonts w:cstheme="minorHAnsi"/>
                <w:sz w:val="16"/>
                <w:szCs w:val="16"/>
              </w:rPr>
              <w:t>bajo era de 80%</w:t>
            </w:r>
            <w:r>
              <w:rPr>
                <w:rFonts w:cstheme="minorHAnsi"/>
                <w:sz w:val="16"/>
                <w:szCs w:val="16"/>
              </w:rPr>
              <w:t>,</w:t>
            </w:r>
            <w:r w:rsidRPr="0092119E">
              <w:rPr>
                <w:rFonts w:cstheme="minorHAnsi"/>
                <w:sz w:val="16"/>
                <w:szCs w:val="16"/>
              </w:rPr>
              <w:t xml:space="preserve"> pero el Portal de Trasparencia Presupuestaria lo reporta al 100%. Pese a ser reportado al 100 %, los documentos normativos del </w:t>
            </w:r>
            <w:r w:rsidRPr="003D478C">
              <w:rPr>
                <w:rFonts w:cstheme="minorHAnsi"/>
                <w:i/>
                <w:sz w:val="16"/>
                <w:szCs w:val="16"/>
              </w:rPr>
              <w:t>Programa</w:t>
            </w:r>
            <w:r w:rsidRPr="0092119E">
              <w:rPr>
                <w:rFonts w:cstheme="minorHAnsi"/>
                <w:sz w:val="16"/>
                <w:szCs w:val="16"/>
              </w:rPr>
              <w:t xml:space="preserve"> no coinciden en la definición de la población. </w:t>
            </w:r>
          </w:p>
        </w:tc>
      </w:tr>
      <w:tr w:rsidR="00661D1B" w:rsidRPr="0092119E" w:rsidTr="00CD36EA">
        <w:trPr>
          <w:cantSplit/>
          <w:trHeight w:val="360"/>
        </w:trPr>
        <w:tc>
          <w:tcPr>
            <w:tcW w:w="534" w:type="dxa"/>
          </w:tcPr>
          <w:p w:rsidR="00661D1B" w:rsidRPr="0092119E" w:rsidRDefault="00661D1B" w:rsidP="00CD36EA">
            <w:pPr>
              <w:rPr>
                <w:rFonts w:cstheme="minorHAnsi"/>
                <w:sz w:val="16"/>
                <w:szCs w:val="16"/>
              </w:rPr>
            </w:pPr>
            <w:r w:rsidRPr="0092119E">
              <w:rPr>
                <w:rFonts w:cstheme="minorHAnsi"/>
                <w:sz w:val="16"/>
                <w:szCs w:val="16"/>
              </w:rPr>
              <w:lastRenderedPageBreak/>
              <w:t>3</w:t>
            </w:r>
          </w:p>
        </w:tc>
        <w:tc>
          <w:tcPr>
            <w:tcW w:w="1304" w:type="dxa"/>
          </w:tcPr>
          <w:p w:rsidR="00661D1B" w:rsidRPr="0092119E" w:rsidRDefault="00661D1B" w:rsidP="00CD36EA">
            <w:pPr>
              <w:rPr>
                <w:rFonts w:cstheme="minorHAnsi"/>
                <w:sz w:val="16"/>
                <w:szCs w:val="16"/>
              </w:rPr>
            </w:pPr>
            <w:r w:rsidRPr="0092119E">
              <w:rPr>
                <w:rFonts w:cstheme="minorHAnsi"/>
                <w:sz w:val="16"/>
                <w:szCs w:val="16"/>
              </w:rPr>
              <w:t>Homologar en todos los documentos normativos del programa (Reglas de operación del Programa (ROP), Documento de Diagnóstico, documento de diseño, Ficha de definiciones de poblaciones, Matriz de Indicadores para Resultados (MIR)) las definiciones de poblaciones potencial, objetivo y atendida.</w:t>
            </w:r>
          </w:p>
        </w:tc>
        <w:tc>
          <w:tcPr>
            <w:tcW w:w="1276" w:type="dxa"/>
          </w:tcPr>
          <w:p w:rsidR="00661D1B" w:rsidRPr="0092119E" w:rsidRDefault="00661D1B" w:rsidP="00CD36EA">
            <w:pPr>
              <w:rPr>
                <w:rFonts w:cstheme="minorHAnsi"/>
                <w:sz w:val="16"/>
                <w:szCs w:val="16"/>
              </w:rPr>
            </w:pPr>
            <w:r w:rsidRPr="0092119E">
              <w:rPr>
                <w:rFonts w:cstheme="minorHAnsi"/>
                <w:sz w:val="16"/>
                <w:szCs w:val="16"/>
              </w:rPr>
              <w:t xml:space="preserve">Los responsables de los Fondos Sectoriales realizarán un plan de trabajo para modificar a lo largo del año las </w:t>
            </w:r>
            <w:r>
              <w:rPr>
                <w:rFonts w:cstheme="minorHAnsi"/>
                <w:sz w:val="16"/>
                <w:szCs w:val="16"/>
              </w:rPr>
              <w:t>d</w:t>
            </w:r>
            <w:r w:rsidRPr="0092119E">
              <w:rPr>
                <w:rFonts w:cstheme="minorHAnsi"/>
                <w:sz w:val="16"/>
                <w:szCs w:val="16"/>
              </w:rPr>
              <w:t>efiniciones de población pa</w:t>
            </w:r>
            <w:r>
              <w:rPr>
                <w:rFonts w:cstheme="minorHAnsi"/>
                <w:sz w:val="16"/>
                <w:szCs w:val="16"/>
              </w:rPr>
              <w:t>ra incluirse en los documentos n</w:t>
            </w:r>
            <w:r w:rsidRPr="0092119E">
              <w:rPr>
                <w:rFonts w:cstheme="minorHAnsi"/>
                <w:sz w:val="16"/>
                <w:szCs w:val="16"/>
              </w:rPr>
              <w:t xml:space="preserve">ormativos. </w:t>
            </w:r>
          </w:p>
        </w:tc>
        <w:tc>
          <w:tcPr>
            <w:tcW w:w="1134" w:type="dxa"/>
          </w:tcPr>
          <w:p w:rsidR="00661D1B" w:rsidRPr="0092119E" w:rsidRDefault="00661D1B" w:rsidP="00CD36EA">
            <w:pPr>
              <w:rPr>
                <w:rFonts w:cstheme="minorHAnsi"/>
                <w:sz w:val="16"/>
                <w:szCs w:val="16"/>
              </w:rPr>
            </w:pPr>
            <w:r w:rsidRPr="0092119E">
              <w:rPr>
                <w:rFonts w:cstheme="minorHAnsi"/>
                <w:sz w:val="16"/>
                <w:szCs w:val="16"/>
              </w:rPr>
              <w:t>Dirección Adjunta de Planeación y Evaluación Dirección Adjunta de Desarrollo Tecnológico e Innovación</w:t>
            </w:r>
          </w:p>
        </w:tc>
        <w:tc>
          <w:tcPr>
            <w:tcW w:w="709" w:type="dxa"/>
          </w:tcPr>
          <w:p w:rsidR="00661D1B" w:rsidRPr="0092119E" w:rsidRDefault="00661D1B" w:rsidP="00CD36EA">
            <w:pPr>
              <w:rPr>
                <w:rFonts w:cstheme="minorHAnsi"/>
                <w:sz w:val="16"/>
                <w:szCs w:val="16"/>
              </w:rPr>
            </w:pPr>
            <w:r w:rsidRPr="0092119E">
              <w:rPr>
                <w:rFonts w:cstheme="minorHAnsi"/>
                <w:sz w:val="16"/>
                <w:szCs w:val="16"/>
              </w:rPr>
              <w:t>2016-2017</w:t>
            </w:r>
          </w:p>
        </w:tc>
        <w:tc>
          <w:tcPr>
            <w:tcW w:w="709" w:type="dxa"/>
          </w:tcPr>
          <w:p w:rsidR="00661D1B" w:rsidRPr="0092119E" w:rsidRDefault="00661D1B" w:rsidP="00CD36EA">
            <w:pPr>
              <w:rPr>
                <w:rFonts w:cstheme="minorHAnsi"/>
                <w:sz w:val="16"/>
                <w:szCs w:val="16"/>
              </w:rPr>
            </w:pPr>
            <w:r w:rsidRPr="0092119E">
              <w:rPr>
                <w:rFonts w:cstheme="minorHAnsi"/>
                <w:sz w:val="16"/>
                <w:szCs w:val="16"/>
              </w:rPr>
              <w:t>29/09/2017</w:t>
            </w:r>
          </w:p>
        </w:tc>
        <w:tc>
          <w:tcPr>
            <w:tcW w:w="1275" w:type="dxa"/>
          </w:tcPr>
          <w:p w:rsidR="00661D1B" w:rsidRPr="0092119E" w:rsidRDefault="00661D1B" w:rsidP="00CD36EA">
            <w:pPr>
              <w:rPr>
                <w:rFonts w:cstheme="minorHAnsi"/>
                <w:sz w:val="16"/>
                <w:szCs w:val="16"/>
              </w:rPr>
            </w:pPr>
            <w:r w:rsidRPr="0092119E">
              <w:rPr>
                <w:rFonts w:cstheme="minorHAnsi"/>
                <w:sz w:val="16"/>
                <w:szCs w:val="16"/>
              </w:rPr>
              <w:t>Contar con la homologación de definición de poblaciones en documentos normativos del Programa S192.</w:t>
            </w:r>
          </w:p>
        </w:tc>
        <w:tc>
          <w:tcPr>
            <w:tcW w:w="1419" w:type="dxa"/>
          </w:tcPr>
          <w:p w:rsidR="00661D1B" w:rsidRPr="0092119E" w:rsidRDefault="00661D1B" w:rsidP="00CD36EA">
            <w:pPr>
              <w:rPr>
                <w:rFonts w:cstheme="minorHAnsi"/>
                <w:sz w:val="16"/>
                <w:szCs w:val="16"/>
              </w:rPr>
            </w:pPr>
            <w:r w:rsidRPr="0092119E">
              <w:rPr>
                <w:rFonts w:cstheme="minorHAnsi"/>
                <w:sz w:val="16"/>
                <w:szCs w:val="16"/>
              </w:rPr>
              <w:t>Documentos normativos del Programa S192</w:t>
            </w:r>
            <w:r>
              <w:t xml:space="preserve"> </w:t>
            </w:r>
            <w:r w:rsidRPr="0092119E">
              <w:rPr>
                <w:rFonts w:cstheme="minorHAnsi"/>
                <w:sz w:val="16"/>
                <w:szCs w:val="16"/>
              </w:rPr>
              <w:t>con definiciones de poblaciones homologadas.</w:t>
            </w:r>
          </w:p>
        </w:tc>
        <w:tc>
          <w:tcPr>
            <w:tcW w:w="567" w:type="dxa"/>
          </w:tcPr>
          <w:p w:rsidR="00661D1B" w:rsidRPr="0092119E" w:rsidRDefault="00661D1B" w:rsidP="00CD36EA">
            <w:pPr>
              <w:rPr>
                <w:rFonts w:cstheme="minorHAnsi"/>
                <w:sz w:val="16"/>
                <w:szCs w:val="16"/>
              </w:rPr>
            </w:pPr>
            <w:r>
              <w:rPr>
                <w:rFonts w:cstheme="minorHAnsi"/>
                <w:sz w:val="16"/>
                <w:szCs w:val="16"/>
              </w:rPr>
              <w:t>100%</w:t>
            </w:r>
          </w:p>
        </w:tc>
        <w:tc>
          <w:tcPr>
            <w:tcW w:w="709" w:type="dxa"/>
          </w:tcPr>
          <w:p w:rsidR="00661D1B" w:rsidRPr="0092119E" w:rsidRDefault="00661D1B" w:rsidP="00CD36EA">
            <w:pPr>
              <w:rPr>
                <w:rFonts w:cstheme="minorHAnsi"/>
                <w:sz w:val="16"/>
                <w:szCs w:val="16"/>
              </w:rPr>
            </w:pPr>
            <w:r>
              <w:rPr>
                <w:rFonts w:cstheme="minorHAnsi"/>
                <w:sz w:val="16"/>
                <w:szCs w:val="16"/>
              </w:rPr>
              <w:t>100%</w:t>
            </w:r>
          </w:p>
        </w:tc>
        <w:tc>
          <w:tcPr>
            <w:tcW w:w="1274" w:type="dxa"/>
          </w:tcPr>
          <w:p w:rsidR="00661D1B" w:rsidRPr="0092119E" w:rsidRDefault="00661D1B" w:rsidP="00CD36EA">
            <w:pPr>
              <w:rPr>
                <w:rFonts w:cstheme="minorHAnsi"/>
                <w:sz w:val="16"/>
                <w:szCs w:val="16"/>
              </w:rPr>
            </w:pPr>
            <w:r w:rsidRPr="003D478C">
              <w:rPr>
                <w:rFonts w:cstheme="minorHAnsi"/>
                <w:sz w:val="16"/>
                <w:szCs w:val="16"/>
              </w:rPr>
              <w:t>Portal de Transparencia Presupuestaria</w:t>
            </w:r>
          </w:p>
        </w:tc>
        <w:tc>
          <w:tcPr>
            <w:tcW w:w="1560" w:type="dxa"/>
          </w:tcPr>
          <w:p w:rsidR="00661D1B" w:rsidRPr="0092119E" w:rsidRDefault="00661D1B" w:rsidP="00CD36EA">
            <w:pPr>
              <w:rPr>
                <w:rFonts w:cstheme="minorHAnsi"/>
                <w:sz w:val="16"/>
                <w:szCs w:val="16"/>
              </w:rPr>
            </w:pPr>
            <w:r w:rsidRPr="003D478C">
              <w:rPr>
                <w:rFonts w:cstheme="minorHAnsi"/>
                <w:sz w:val="16"/>
                <w:szCs w:val="16"/>
              </w:rPr>
              <w:t xml:space="preserve">Pese a ser reportado al 100 %, los documentos normativos del </w:t>
            </w:r>
            <w:r w:rsidRPr="003D478C">
              <w:rPr>
                <w:rFonts w:cstheme="minorHAnsi"/>
                <w:i/>
                <w:sz w:val="16"/>
                <w:szCs w:val="16"/>
              </w:rPr>
              <w:t>Programa</w:t>
            </w:r>
            <w:r w:rsidRPr="003D478C">
              <w:rPr>
                <w:rFonts w:cstheme="minorHAnsi"/>
                <w:sz w:val="16"/>
                <w:szCs w:val="16"/>
              </w:rPr>
              <w:t xml:space="preserve"> no coinciden en la definición de la población (ROP vs Diagnóstico).</w:t>
            </w:r>
          </w:p>
        </w:tc>
      </w:tr>
      <w:tr w:rsidR="00661D1B" w:rsidRPr="0092119E" w:rsidTr="00CD36EA">
        <w:trPr>
          <w:cantSplit/>
          <w:trHeight w:val="360"/>
        </w:trPr>
        <w:tc>
          <w:tcPr>
            <w:tcW w:w="534" w:type="dxa"/>
          </w:tcPr>
          <w:p w:rsidR="00661D1B" w:rsidRPr="0092119E" w:rsidRDefault="00661D1B" w:rsidP="00CD36EA">
            <w:pPr>
              <w:rPr>
                <w:rFonts w:cstheme="minorHAnsi"/>
                <w:sz w:val="16"/>
                <w:szCs w:val="16"/>
              </w:rPr>
            </w:pPr>
            <w:r>
              <w:rPr>
                <w:rFonts w:cstheme="minorHAnsi"/>
                <w:sz w:val="16"/>
                <w:szCs w:val="16"/>
              </w:rPr>
              <w:lastRenderedPageBreak/>
              <w:t>4</w:t>
            </w:r>
          </w:p>
        </w:tc>
        <w:tc>
          <w:tcPr>
            <w:tcW w:w="1304" w:type="dxa"/>
          </w:tcPr>
          <w:p w:rsidR="00661D1B" w:rsidRPr="0092119E" w:rsidRDefault="00661D1B" w:rsidP="00CD36EA">
            <w:pPr>
              <w:rPr>
                <w:rFonts w:cstheme="minorHAnsi"/>
                <w:sz w:val="16"/>
                <w:szCs w:val="16"/>
              </w:rPr>
            </w:pPr>
            <w:r w:rsidRPr="003D478C">
              <w:rPr>
                <w:rFonts w:cstheme="minorHAnsi"/>
                <w:sz w:val="16"/>
                <w:szCs w:val="16"/>
              </w:rPr>
              <w:t>Diseñar un indicador que permita conocer la percepción de los sujetos de apoyo sobre el Programa</w:t>
            </w:r>
          </w:p>
        </w:tc>
        <w:tc>
          <w:tcPr>
            <w:tcW w:w="1276" w:type="dxa"/>
          </w:tcPr>
          <w:p w:rsidR="00661D1B" w:rsidRPr="0092119E" w:rsidRDefault="00661D1B" w:rsidP="00CD36EA">
            <w:pPr>
              <w:rPr>
                <w:rFonts w:cstheme="minorHAnsi"/>
                <w:sz w:val="16"/>
                <w:szCs w:val="16"/>
              </w:rPr>
            </w:pPr>
            <w:r w:rsidRPr="003D478C">
              <w:rPr>
                <w:rFonts w:cstheme="minorHAnsi"/>
                <w:sz w:val="16"/>
                <w:szCs w:val="16"/>
              </w:rPr>
              <w:t>Índice de satisfacción de beneficiarios</w:t>
            </w:r>
          </w:p>
        </w:tc>
        <w:tc>
          <w:tcPr>
            <w:tcW w:w="1134" w:type="dxa"/>
          </w:tcPr>
          <w:p w:rsidR="00661D1B" w:rsidRPr="0092119E" w:rsidRDefault="00661D1B" w:rsidP="00CD36EA">
            <w:pPr>
              <w:rPr>
                <w:rFonts w:cstheme="minorHAnsi"/>
                <w:sz w:val="16"/>
                <w:szCs w:val="16"/>
              </w:rPr>
            </w:pPr>
            <w:r w:rsidRPr="003D478C">
              <w:rPr>
                <w:rFonts w:cstheme="minorHAnsi"/>
                <w:sz w:val="16"/>
                <w:szCs w:val="16"/>
              </w:rPr>
              <w:t>Dirección Adjunta de Planeación y Evaluación Dirección Adjunta de Desarrollo Tecnológico e Innovación Dirección Adjunta de Cooperación Internacional Dirección Adjunta de Desarrollo Científico</w:t>
            </w:r>
          </w:p>
        </w:tc>
        <w:tc>
          <w:tcPr>
            <w:tcW w:w="709" w:type="dxa"/>
          </w:tcPr>
          <w:p w:rsidR="00661D1B" w:rsidRPr="0092119E" w:rsidRDefault="00661D1B" w:rsidP="00CD36EA">
            <w:pPr>
              <w:rPr>
                <w:rFonts w:cstheme="minorHAnsi"/>
                <w:sz w:val="16"/>
                <w:szCs w:val="16"/>
              </w:rPr>
            </w:pPr>
            <w:r>
              <w:rPr>
                <w:rFonts w:cstheme="minorHAnsi"/>
                <w:sz w:val="16"/>
                <w:szCs w:val="16"/>
              </w:rPr>
              <w:t>2015-2016</w:t>
            </w:r>
          </w:p>
        </w:tc>
        <w:tc>
          <w:tcPr>
            <w:tcW w:w="709" w:type="dxa"/>
          </w:tcPr>
          <w:p w:rsidR="00661D1B" w:rsidRPr="0092119E" w:rsidRDefault="00661D1B" w:rsidP="00CD36EA">
            <w:pPr>
              <w:rPr>
                <w:rFonts w:cstheme="minorHAnsi"/>
                <w:sz w:val="16"/>
                <w:szCs w:val="16"/>
              </w:rPr>
            </w:pPr>
            <w:r>
              <w:rPr>
                <w:rFonts w:cstheme="minorHAnsi"/>
                <w:sz w:val="16"/>
                <w:szCs w:val="16"/>
              </w:rPr>
              <w:t>31/12/2015</w:t>
            </w:r>
          </w:p>
        </w:tc>
        <w:tc>
          <w:tcPr>
            <w:tcW w:w="1275" w:type="dxa"/>
          </w:tcPr>
          <w:p w:rsidR="00661D1B" w:rsidRPr="0092119E" w:rsidRDefault="00661D1B" w:rsidP="00CD36EA">
            <w:pPr>
              <w:rPr>
                <w:rFonts w:cstheme="minorHAnsi"/>
                <w:sz w:val="16"/>
                <w:szCs w:val="16"/>
              </w:rPr>
            </w:pPr>
            <w:r w:rsidRPr="003D478C">
              <w:rPr>
                <w:rFonts w:cstheme="minorHAnsi"/>
                <w:sz w:val="16"/>
                <w:szCs w:val="16"/>
              </w:rPr>
              <w:t>Evaluación de</w:t>
            </w:r>
            <w:r>
              <w:rPr>
                <w:rFonts w:cstheme="minorHAnsi"/>
                <w:sz w:val="16"/>
                <w:szCs w:val="16"/>
              </w:rPr>
              <w:t xml:space="preserve"> </w:t>
            </w:r>
            <w:r w:rsidRPr="003D478C">
              <w:rPr>
                <w:rFonts w:cstheme="minorHAnsi"/>
                <w:sz w:val="16"/>
                <w:szCs w:val="16"/>
              </w:rPr>
              <w:t>Satisfacción de</w:t>
            </w:r>
            <w:r>
              <w:rPr>
                <w:rFonts w:cstheme="minorHAnsi"/>
                <w:sz w:val="16"/>
                <w:szCs w:val="16"/>
              </w:rPr>
              <w:t xml:space="preserve"> </w:t>
            </w:r>
            <w:r w:rsidRPr="003D478C">
              <w:rPr>
                <w:rFonts w:cstheme="minorHAnsi"/>
                <w:sz w:val="16"/>
                <w:szCs w:val="16"/>
              </w:rPr>
              <w:t>Beneficiarios del Programa S192 Sectoriales</w:t>
            </w:r>
          </w:p>
        </w:tc>
        <w:tc>
          <w:tcPr>
            <w:tcW w:w="1419" w:type="dxa"/>
          </w:tcPr>
          <w:p w:rsidR="00661D1B" w:rsidRPr="0092119E" w:rsidRDefault="00661D1B" w:rsidP="00CD36EA">
            <w:pPr>
              <w:rPr>
                <w:rFonts w:cstheme="minorHAnsi"/>
                <w:sz w:val="16"/>
                <w:szCs w:val="16"/>
              </w:rPr>
            </w:pPr>
            <w:r>
              <w:rPr>
                <w:rFonts w:cstheme="minorHAnsi"/>
                <w:sz w:val="16"/>
                <w:szCs w:val="16"/>
              </w:rPr>
              <w:t>Informe final</w:t>
            </w:r>
          </w:p>
        </w:tc>
        <w:tc>
          <w:tcPr>
            <w:tcW w:w="567" w:type="dxa"/>
          </w:tcPr>
          <w:p w:rsidR="00661D1B" w:rsidRPr="0092119E" w:rsidRDefault="00661D1B" w:rsidP="00CD36EA">
            <w:pPr>
              <w:rPr>
                <w:rFonts w:cstheme="minorHAnsi"/>
                <w:sz w:val="16"/>
                <w:szCs w:val="16"/>
              </w:rPr>
            </w:pPr>
            <w:r>
              <w:rPr>
                <w:rFonts w:cstheme="minorHAnsi"/>
                <w:sz w:val="16"/>
                <w:szCs w:val="16"/>
              </w:rPr>
              <w:t>100%</w:t>
            </w:r>
          </w:p>
        </w:tc>
        <w:tc>
          <w:tcPr>
            <w:tcW w:w="709" w:type="dxa"/>
          </w:tcPr>
          <w:p w:rsidR="00661D1B" w:rsidRPr="0092119E" w:rsidRDefault="00661D1B" w:rsidP="00CD36EA">
            <w:pPr>
              <w:rPr>
                <w:rFonts w:cstheme="minorHAnsi"/>
                <w:sz w:val="16"/>
                <w:szCs w:val="16"/>
              </w:rPr>
            </w:pPr>
            <w:r>
              <w:rPr>
                <w:rFonts w:cstheme="minorHAnsi"/>
                <w:sz w:val="16"/>
                <w:szCs w:val="16"/>
              </w:rPr>
              <w:t>100%</w:t>
            </w:r>
          </w:p>
        </w:tc>
        <w:tc>
          <w:tcPr>
            <w:tcW w:w="1274" w:type="dxa"/>
          </w:tcPr>
          <w:p w:rsidR="00661D1B" w:rsidRPr="0092119E" w:rsidRDefault="00661D1B" w:rsidP="00CD36EA">
            <w:pPr>
              <w:rPr>
                <w:rFonts w:cstheme="minorHAnsi"/>
                <w:sz w:val="16"/>
                <w:szCs w:val="16"/>
              </w:rPr>
            </w:pPr>
            <w:r w:rsidRPr="003D478C">
              <w:rPr>
                <w:rFonts w:cstheme="minorHAnsi"/>
                <w:sz w:val="16"/>
                <w:szCs w:val="16"/>
              </w:rPr>
              <w:t>Portal de Transparencia Presupuestaria</w:t>
            </w:r>
          </w:p>
        </w:tc>
        <w:tc>
          <w:tcPr>
            <w:tcW w:w="1560" w:type="dxa"/>
          </w:tcPr>
          <w:p w:rsidR="00661D1B" w:rsidRPr="0092119E" w:rsidRDefault="00661D1B" w:rsidP="00CD36EA">
            <w:pPr>
              <w:rPr>
                <w:rFonts w:cstheme="minorHAnsi"/>
                <w:sz w:val="16"/>
                <w:szCs w:val="16"/>
              </w:rPr>
            </w:pPr>
            <w:r w:rsidRPr="003D478C">
              <w:rPr>
                <w:rFonts w:cstheme="minorHAnsi"/>
                <w:sz w:val="16"/>
                <w:szCs w:val="16"/>
              </w:rPr>
              <w:t xml:space="preserve">Se realizó la encuesta de satisfacción de beneficiarios a través de la plataforma </w:t>
            </w:r>
            <w:r w:rsidRPr="003D478C">
              <w:rPr>
                <w:rFonts w:cstheme="minorHAnsi"/>
                <w:i/>
                <w:sz w:val="16"/>
                <w:szCs w:val="16"/>
              </w:rPr>
              <w:t xml:space="preserve">Tú Evalúas </w:t>
            </w:r>
            <w:r w:rsidRPr="003D478C">
              <w:rPr>
                <w:rFonts w:cstheme="minorHAnsi"/>
                <w:sz w:val="16"/>
                <w:szCs w:val="16"/>
              </w:rPr>
              <w:t xml:space="preserve">de </w:t>
            </w:r>
            <w:r>
              <w:rPr>
                <w:rFonts w:cstheme="minorHAnsi"/>
                <w:sz w:val="16"/>
                <w:szCs w:val="16"/>
              </w:rPr>
              <w:t>gob.mx</w:t>
            </w:r>
            <w:r w:rsidRPr="003D478C">
              <w:rPr>
                <w:rFonts w:cstheme="minorHAnsi"/>
                <w:sz w:val="16"/>
                <w:szCs w:val="16"/>
              </w:rPr>
              <w:t>.</w:t>
            </w:r>
          </w:p>
        </w:tc>
      </w:tr>
    </w:tbl>
    <w:p w:rsidR="00B8306D" w:rsidRDefault="00B8306D" w:rsidP="00661D1B">
      <w:pPr>
        <w:autoSpaceDE w:val="0"/>
        <w:autoSpaceDN w:val="0"/>
        <w:adjustRightInd w:val="0"/>
        <w:spacing w:after="0" w:line="240" w:lineRule="auto"/>
        <w:jc w:val="both"/>
      </w:pPr>
      <w:bookmarkStart w:id="1" w:name="_GoBack"/>
      <w:bookmarkEnd w:id="1"/>
    </w:p>
    <w:sectPr w:rsidR="00B8306D" w:rsidSect="00661D1B">
      <w:pgSz w:w="15840" w:h="12240"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D1B"/>
    <w:rsid w:val="00414E62"/>
    <w:rsid w:val="00661D1B"/>
    <w:rsid w:val="00B8306D"/>
    <w:rsid w:val="00D5197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F2A5E"/>
  <w15:chartTrackingRefBased/>
  <w15:docId w15:val="{C435C705-F176-40FB-90A4-7B0DE01F5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1D1B"/>
    <w:pPr>
      <w:spacing w:after="200" w:line="276" w:lineRule="auto"/>
    </w:pPr>
  </w:style>
  <w:style w:type="paragraph" w:styleId="Ttulo2">
    <w:name w:val="heading 2"/>
    <w:basedOn w:val="Normal"/>
    <w:next w:val="Normal"/>
    <w:link w:val="Ttulo2Car"/>
    <w:uiPriority w:val="9"/>
    <w:unhideWhenUsed/>
    <w:qFormat/>
    <w:rsid w:val="00661D1B"/>
    <w:pPr>
      <w:keepNext/>
      <w:keepLines/>
      <w:spacing w:before="200" w:after="0"/>
      <w:outlineLvl w:val="1"/>
    </w:pPr>
    <w:rPr>
      <w:rFonts w:asciiTheme="majorHAnsi" w:eastAsiaTheme="majorEastAsia" w:hAnsiTheme="majorHAnsi" w:cstheme="majorBidi"/>
      <w:b/>
      <w:bCs/>
      <w:color w:val="4472C4"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661D1B"/>
    <w:rPr>
      <w:rFonts w:asciiTheme="majorHAnsi" w:eastAsiaTheme="majorEastAsia" w:hAnsiTheme="majorHAnsi" w:cstheme="majorBidi"/>
      <w:b/>
      <w:bCs/>
      <w:color w:val="4472C4" w:themeColor="accent1"/>
      <w:sz w:val="26"/>
      <w:szCs w:val="26"/>
    </w:rPr>
  </w:style>
  <w:style w:type="table" w:styleId="Tablaconcuadrcula">
    <w:name w:val="Table Grid"/>
    <w:basedOn w:val="Tablanormal"/>
    <w:uiPriority w:val="59"/>
    <w:rsid w:val="00661D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563</Words>
  <Characters>3101</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Octavio Rios</dc:creator>
  <cp:keywords/>
  <dc:description/>
  <cp:lastModifiedBy>Octavio Rios</cp:lastModifiedBy>
  <cp:revision>1</cp:revision>
  <dcterms:created xsi:type="dcterms:W3CDTF">2018-06-30T02:08:00Z</dcterms:created>
  <dcterms:modified xsi:type="dcterms:W3CDTF">2018-06-30T02:09:00Z</dcterms:modified>
</cp:coreProperties>
</file>